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DECLARACIÓN DE COMPROMISO ALCALDES Y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REGIDORES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ELECTOS DEL PARTIDO JUSTICIA SOCIAL (JS)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Nosotros,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representantes municipales electos,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integrantes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del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partido Justicia Social (JS), asumimos el compromiso de guiar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y desempeñar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nuestras gestiones locales bajo los siguientes valores fundamentales: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Transparencia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Ejecutaremos procesos de toma de decisiones y acciones de la administración municipal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de manera abierta y transparente, garantizando el acceso a la información y la rendición de cuentas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al pueblo en general -lo cual incluye a la población de menor edad integrada por adolescentes y niños- de manera proactiva y permanente.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Cada paso que demos estará marcado por la claridad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la honestidad y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la coherencia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con el objetivo de fortalecer la confianza y la credibilidad en nuestras administraciones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Participación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: Reconocemos el valor y la importancia de la participación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de la población en general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en la vida democrática de nuestros municipios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y distritos municipales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. Nos comprometemos a crear espacios de diálogo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y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colaboración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donde todas las voces sean escuchadas y consideradas en la toma de decisiones que afecten sus vidas y comunidades.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3.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Rendición de Cuentas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:  Asumimos la responsabilidad de de informar de manera periódica y transparente sobre el uso de los recursos públicos y los resultados obtenidos en nuestras gestiones;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permanecer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disponibles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para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responder las preguntas y preocupaciones de nuestros ciudadanos y ciudadanas,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honrando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así nuestro compromiso con la integridad y la institucionalidad democrática.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4.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Democracia Ciudadana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:  Creemos en una democracia verdaderamente participativa, donde toda la ciudadanía tenga la oportunidad de influir en las decisiones que afectan su entorno.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En ese sentido, propiciaremos y promoveremos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la participación de la comunidad en la vida política y social de nuestros gobiernos locales para garantizar así gestiones cercanas y sensibles a las necesidades y aspiraciones de la población.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5.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Sostenibilidad ambiental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: Nuestras gestiones municipales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empezarán a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implementar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un urbanismo ecológico: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acciones verdes en favor de la sostenibilidad ambiental, la protección del ambiente, los recursos naturales y la biodiversidad; la ampliación y creación de más espacios verdes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multifuncionales de calidad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el uso de energías renovables para la iluminación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de las áreas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comunes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en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las edificaciones de los ayuntamientos bajo nuestra administración;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gestiones para garantizar la autonomía y soberanía hídrica, el tratamiento y manejo adecuado y sostenible de aguas residuales y desechos sólidos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. Los gobiernos locales de Justicia Social (JS) promoverán acciones y programas pedagógicos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ambientales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y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sobre derechos colectivos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para lograr mayor compromiso estatal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y del pueblo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con la sostenibilidad ambiental,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lo público y los valores ecológicos como parte esencial de la identidad cultural para el bienestar colectivo.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6.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Género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Nuestros gobiernos locales impulsarán acciones y programas que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reivindiquen el desarrollo integral de la mujer y su participación en lo público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Asumiremos con firme voluntad, decisión y acción, el mayor esfuerzo posible para propugnar por la igualdad y equidad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en el ejercicio de derechos entre mujeres y hombres. 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Inclusión y no discriminación: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Impulsaremos la inclusión de personas con discapacidad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a través de la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apertura de espacios laborales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incluyentes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en los ayuntamientos, cuyas i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nfraestructuras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serán readecuadas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para su libre y fácil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acceso. Promoveremos programas de orientación, educación y difusión contra todo tipo de discriminación o exclusión de cualquier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índole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por razones de género, condición social o económica, religiosa, sexual o de cualquier naturaleza.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ff000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ff0000"/>
          <w:highlight w:val="white"/>
          <w:rtl w:val="0"/>
        </w:rPr>
        <w:t xml:space="preserve">8.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highlight w:val="white"/>
          <w:rtl w:val="0"/>
        </w:rPr>
        <w:t xml:space="preserve">Tecnología y Ciudades Digitales</w:t>
      </w:r>
      <w:r w:rsidDel="00000000" w:rsidR="00000000" w:rsidRPr="00000000">
        <w:rPr>
          <w:rFonts w:ascii="Verdana" w:cs="Verdana" w:eastAsia="Verdana" w:hAnsi="Verdana"/>
          <w:color w:val="ff0000"/>
          <w:highlight w:val="white"/>
          <w:rtl w:val="0"/>
        </w:rPr>
        <w:t xml:space="preserve">: Propiciaremos y gestionaremos la instalación y utilización de tecnología digital y de datos para optimizar la toma de decisiones, la participación, la transparencia, la rendición de cuentas, la gestión de recursos, la eficiencia operativa y la calidad de vida de nuestros munícipes, mejorar la infraestructura y los servicios públicos; responder a los efectos del cambio climático e identificar y reconocer las desventajas de nuestro entorno urbano para el diseño y ejecución de un plan de gestión de riesgos y garantizar la sostenibilidad.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Con estos valores como parte de nuestra guía, nos comprometemos a trabajar incansablemente por el bienestar y el progreso de nuestros municipios y distritos municipales. Nos comprometemos a ser líderes íntegros y transparentes, dedicados a servir a nuestra comunidad con pasión, responsabilidad y dedicación.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¡Juntos construiremos un futuro mejor,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con estándares más elevados de inclusión y justicia,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para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todas y todos!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Alcaldes, directores, regidores y vocales electos</w:t>
      </w:r>
    </w:p>
    <w:sectPr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inespaciado">
    <w:name w:val="No Spacing"/>
    <w:uiPriority w:val="1"/>
    <w:qFormat w:val="1"/>
    <w:rsid w:val="00AA18CE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442B4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42B4E"/>
  </w:style>
  <w:style w:type="paragraph" w:styleId="Piedepgina">
    <w:name w:val="footer"/>
    <w:basedOn w:val="Normal"/>
    <w:link w:val="PiedepginaCar"/>
    <w:uiPriority w:val="99"/>
    <w:unhideWhenUsed w:val="1"/>
    <w:rsid w:val="00442B4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42B4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hft9B0KfWP7lY25WYGkR0vuB+w==">CgMxLjAyCGguZ2pkZ3hzOAByITFOWlNfcWJZZlBmaUxsVVFGQm5yMFFna294Y1NFcV9GSg==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2024-02-28T18:51:00Z</dcterms:created>
  <dc:creator>Dr. Mateo Rosario</dc:creator>
</cp:coreProperties>
</file>